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F11E" w14:textId="77777777" w:rsidR="007E0355" w:rsidRDefault="005674F5">
      <w:pPr>
        <w:pStyle w:val="Heading1"/>
      </w:pPr>
      <w:r>
        <w:t>Sliding Scale Fee Schedule</w:t>
      </w:r>
    </w:p>
    <w:p w14:paraId="0CD5F5ED" w14:textId="09423172" w:rsidR="007E0355" w:rsidRDefault="005674F5">
      <w:r>
        <w:t>CCW BH Services</w:t>
      </w:r>
      <w:r>
        <w:br/>
        <w:t>Effective Date: 4/8/2025</w:t>
      </w:r>
    </w:p>
    <w:p w14:paraId="0748397A" w14:textId="77777777" w:rsidR="007E0355" w:rsidRDefault="005674F5">
      <w:pPr>
        <w:pStyle w:val="Heading2"/>
      </w:pPr>
      <w:r>
        <w:t>Eligibility Requirements</w:t>
      </w:r>
    </w:p>
    <w:p w14:paraId="78D1AF85" w14:textId="77777777" w:rsidR="007E0355" w:rsidRDefault="005674F5">
      <w:r>
        <w:t xml:space="preserve">Patients must submit proof of income (e.g., recent pay stubs, tax return, or SSI/SSDI benefit letter) and household size </w:t>
      </w:r>
      <w:r>
        <w:t>documentation to qualify for reduced fees. Discounts do not apply to insurance co-pays or deductibles.</w:t>
      </w:r>
    </w:p>
    <w:p w14:paraId="1F4775FB" w14:textId="77777777" w:rsidR="007E0355" w:rsidRDefault="005674F5">
      <w:pPr>
        <w:pStyle w:val="Heading2"/>
      </w:pPr>
      <w:r>
        <w:t>Sliding Scale Fee Table</w:t>
      </w:r>
    </w:p>
    <w:p w14:paraId="1385F0FB" w14:textId="77777777" w:rsidR="007E0355" w:rsidRDefault="005674F5">
      <w:r>
        <w:t>The following table outlines the discount levels based on Federal Poverty Level (FPL) guidelines and income:</w:t>
      </w:r>
    </w:p>
    <w:p w14:paraId="147A9C03" w14:textId="123BDFE1" w:rsidR="007E0355" w:rsidRDefault="005674F5" w:rsidP="005674F5">
      <w:r>
        <w:t xml:space="preserve">FPL %              </w:t>
      </w:r>
      <w:r w:rsidRPr="005674F5">
        <w:rPr>
          <w:color w:val="1F497D" w:themeColor="text2"/>
        </w:rPr>
        <w:t xml:space="preserve">| Discount </w:t>
      </w:r>
      <w:r>
        <w:t>| Initial Eval Fee | Follow-Up Fee</w:t>
      </w:r>
      <w:r>
        <w:br/>
        <w:t xml:space="preserve">-------------      </w:t>
      </w:r>
      <w:r>
        <w:t xml:space="preserve"> | --------      </w:t>
      </w:r>
      <w:r>
        <w:t xml:space="preserve"> | ----------------       </w:t>
      </w:r>
      <w:r>
        <w:t xml:space="preserve"> | --------------</w:t>
      </w:r>
      <w:r>
        <w:br/>
        <w:t xml:space="preserve">0–100% FPL    | </w:t>
      </w:r>
      <w:r w:rsidRPr="005674F5">
        <w:rPr>
          <w:color w:val="1F497D" w:themeColor="text2"/>
        </w:rPr>
        <w:t>80%</w:t>
      </w:r>
      <w:r>
        <w:t xml:space="preserve">        </w:t>
      </w:r>
      <w:r>
        <w:t xml:space="preserve"> | $50                       </w:t>
      </w:r>
      <w:r>
        <w:t xml:space="preserve"> | $30</w:t>
      </w:r>
      <w:r>
        <w:br/>
        <w:t xml:space="preserve">101–150% FPL  | </w:t>
      </w:r>
      <w:r w:rsidRPr="005674F5">
        <w:rPr>
          <w:color w:val="1F497D" w:themeColor="text2"/>
        </w:rPr>
        <w:t>60%</w:t>
      </w:r>
      <w:r>
        <w:t xml:space="preserve">      | $80                </w:t>
      </w:r>
      <w:r>
        <w:t xml:space="preserve">     | $50</w:t>
      </w:r>
      <w:r>
        <w:br/>
        <w:t xml:space="preserve">151–200% FPL  | </w:t>
      </w:r>
      <w:r w:rsidRPr="005674F5">
        <w:rPr>
          <w:color w:val="1F497D" w:themeColor="text2"/>
        </w:rPr>
        <w:t>40%</w:t>
      </w:r>
      <w:r>
        <w:t xml:space="preserve">      | $120                </w:t>
      </w:r>
      <w:r>
        <w:t xml:space="preserve">  | $75</w:t>
      </w:r>
      <w:r>
        <w:br/>
        <w:t xml:space="preserve">201–250% FPL  | </w:t>
      </w:r>
      <w:r w:rsidRPr="005674F5">
        <w:rPr>
          <w:color w:val="1F497D" w:themeColor="text2"/>
        </w:rPr>
        <w:t>20%</w:t>
      </w:r>
      <w:r>
        <w:t xml:space="preserve">      | $160                </w:t>
      </w:r>
      <w:r>
        <w:t xml:space="preserve">  | $100</w:t>
      </w:r>
      <w:r>
        <w:br/>
        <w:t xml:space="preserve">&gt;250% FPL     | </w:t>
      </w:r>
      <w:r w:rsidRPr="005674F5">
        <w:rPr>
          <w:color w:val="1F497D" w:themeColor="text2"/>
        </w:rPr>
        <w:t>0%</w:t>
      </w:r>
      <w:r>
        <w:t xml:space="preserve">           </w:t>
      </w:r>
      <w:r>
        <w:t xml:space="preserve"> | $200                   </w:t>
      </w:r>
      <w:r>
        <w:t>|</w:t>
      </w:r>
      <w:r>
        <w:t xml:space="preserve"> </w:t>
      </w:r>
      <w:r>
        <w:t>$125</w:t>
      </w:r>
    </w:p>
    <w:p w14:paraId="3EBFD5DD" w14:textId="77777777" w:rsidR="007E0355" w:rsidRDefault="005674F5">
      <w:pPr>
        <w:pStyle w:val="Heading2"/>
      </w:pPr>
      <w:r>
        <w:t>2025 Federal Poverty Guidelines by Household Size</w:t>
      </w:r>
    </w:p>
    <w:p w14:paraId="607C50A8" w14:textId="77777777" w:rsidR="007E0355" w:rsidRDefault="005674F5">
      <w:r>
        <w:t xml:space="preserve">Household Size | </w:t>
      </w:r>
      <w:r w:rsidRPr="005674F5">
        <w:rPr>
          <w:color w:val="1F497D" w:themeColor="text2"/>
        </w:rPr>
        <w:t xml:space="preserve">100% FPL </w:t>
      </w:r>
      <w:r>
        <w:t xml:space="preserve">| </w:t>
      </w:r>
      <w:r w:rsidRPr="005674F5">
        <w:rPr>
          <w:color w:val="943634" w:themeColor="accent2" w:themeShade="BF"/>
        </w:rPr>
        <w:t xml:space="preserve">150% FPL </w:t>
      </w:r>
      <w:r>
        <w:t xml:space="preserve">| </w:t>
      </w:r>
      <w:r w:rsidRPr="005674F5">
        <w:rPr>
          <w:color w:val="E36C0A" w:themeColor="accent6" w:themeShade="BF"/>
        </w:rPr>
        <w:t xml:space="preserve">200% FPL </w:t>
      </w:r>
      <w:r>
        <w:t>| 250% FPL</w:t>
      </w:r>
      <w:r>
        <w:br/>
        <w:t>---------------|-----------|-----------|-----------|-----------</w:t>
      </w:r>
      <w:r>
        <w:br/>
        <w:t xml:space="preserve">1              | </w:t>
      </w:r>
      <w:r w:rsidRPr="005674F5">
        <w:rPr>
          <w:color w:val="1F497D" w:themeColor="text2"/>
        </w:rPr>
        <w:t xml:space="preserve">$15,060   </w:t>
      </w:r>
      <w:r>
        <w:t xml:space="preserve">| </w:t>
      </w:r>
      <w:r w:rsidRPr="005674F5">
        <w:rPr>
          <w:color w:val="943634" w:themeColor="accent2" w:themeShade="BF"/>
        </w:rPr>
        <w:t xml:space="preserve">$22,590   </w:t>
      </w:r>
      <w:r>
        <w:t xml:space="preserve">| </w:t>
      </w:r>
      <w:r w:rsidRPr="005674F5">
        <w:rPr>
          <w:color w:val="E36C0A" w:themeColor="accent6" w:themeShade="BF"/>
        </w:rPr>
        <w:t xml:space="preserve">$30,120   </w:t>
      </w:r>
      <w:r>
        <w:t>| $37,650</w:t>
      </w:r>
      <w:r>
        <w:br/>
        <w:t xml:space="preserve">2              | </w:t>
      </w:r>
      <w:r w:rsidRPr="005674F5">
        <w:rPr>
          <w:color w:val="1F497D" w:themeColor="text2"/>
        </w:rPr>
        <w:t xml:space="preserve">$20,440   </w:t>
      </w:r>
      <w:r>
        <w:t xml:space="preserve">| </w:t>
      </w:r>
      <w:r w:rsidRPr="005674F5">
        <w:rPr>
          <w:color w:val="943634" w:themeColor="accent2" w:themeShade="BF"/>
        </w:rPr>
        <w:t xml:space="preserve">$30,660   </w:t>
      </w:r>
      <w:r>
        <w:t xml:space="preserve">| </w:t>
      </w:r>
      <w:r w:rsidRPr="005674F5">
        <w:rPr>
          <w:color w:val="E36C0A" w:themeColor="accent6" w:themeShade="BF"/>
        </w:rPr>
        <w:t xml:space="preserve">$40,880   </w:t>
      </w:r>
      <w:r>
        <w:t>| $51,100</w:t>
      </w:r>
      <w:r>
        <w:br/>
        <w:t xml:space="preserve">3              | </w:t>
      </w:r>
      <w:r w:rsidRPr="005674F5">
        <w:rPr>
          <w:color w:val="1F497D" w:themeColor="text2"/>
        </w:rPr>
        <w:t xml:space="preserve">$25,820   </w:t>
      </w:r>
      <w:r w:rsidRPr="005674F5">
        <w:rPr>
          <w:color w:val="000000" w:themeColor="text1"/>
        </w:rPr>
        <w:t>|</w:t>
      </w:r>
      <w:r w:rsidRPr="005674F5">
        <w:rPr>
          <w:color w:val="943634" w:themeColor="accent2" w:themeShade="BF"/>
        </w:rPr>
        <w:t xml:space="preserve"> $38,730   </w:t>
      </w:r>
      <w:r>
        <w:t xml:space="preserve">| </w:t>
      </w:r>
      <w:r w:rsidRPr="005674F5">
        <w:rPr>
          <w:color w:val="E36C0A" w:themeColor="accent6" w:themeShade="BF"/>
        </w:rPr>
        <w:t xml:space="preserve">$51,640   </w:t>
      </w:r>
      <w:r>
        <w:t>| $64,550</w:t>
      </w:r>
      <w:r>
        <w:br/>
        <w:t xml:space="preserve">4              | </w:t>
      </w:r>
      <w:r w:rsidRPr="005674F5">
        <w:rPr>
          <w:color w:val="1F497D" w:themeColor="text2"/>
        </w:rPr>
        <w:t xml:space="preserve">$31,200   </w:t>
      </w:r>
      <w:r>
        <w:t xml:space="preserve">| </w:t>
      </w:r>
      <w:r w:rsidRPr="005674F5">
        <w:rPr>
          <w:color w:val="943634" w:themeColor="accent2" w:themeShade="BF"/>
        </w:rPr>
        <w:t xml:space="preserve">$46,800   </w:t>
      </w:r>
      <w:r>
        <w:t xml:space="preserve">| </w:t>
      </w:r>
      <w:r w:rsidRPr="005674F5">
        <w:rPr>
          <w:color w:val="E36C0A" w:themeColor="accent6" w:themeShade="BF"/>
        </w:rPr>
        <w:t xml:space="preserve">$62,400   </w:t>
      </w:r>
      <w:r>
        <w:t>| $78,000</w:t>
      </w:r>
      <w:r>
        <w:br/>
        <w:t xml:space="preserve">5              | </w:t>
      </w:r>
      <w:r w:rsidRPr="005674F5">
        <w:rPr>
          <w:color w:val="1F497D" w:themeColor="text2"/>
        </w:rPr>
        <w:t xml:space="preserve">$36,580   </w:t>
      </w:r>
      <w:r w:rsidRPr="005674F5">
        <w:rPr>
          <w:color w:val="000000" w:themeColor="text1"/>
        </w:rPr>
        <w:t>|</w:t>
      </w:r>
      <w:r w:rsidRPr="005674F5">
        <w:rPr>
          <w:color w:val="943634" w:themeColor="accent2" w:themeShade="BF"/>
        </w:rPr>
        <w:t xml:space="preserve"> $54,870   </w:t>
      </w:r>
      <w:r>
        <w:t xml:space="preserve">| </w:t>
      </w:r>
      <w:r w:rsidRPr="005674F5">
        <w:rPr>
          <w:color w:val="E36C0A" w:themeColor="accent6" w:themeShade="BF"/>
        </w:rPr>
        <w:t xml:space="preserve">$73,160   </w:t>
      </w:r>
      <w:r>
        <w:t>| $91,450</w:t>
      </w:r>
      <w:r>
        <w:br/>
        <w:t xml:space="preserve">6              | </w:t>
      </w:r>
      <w:r w:rsidRPr="005674F5">
        <w:rPr>
          <w:color w:val="1F497D" w:themeColor="text2"/>
        </w:rPr>
        <w:t xml:space="preserve">$41,960   </w:t>
      </w:r>
      <w:r>
        <w:t xml:space="preserve">| </w:t>
      </w:r>
      <w:r w:rsidRPr="005674F5">
        <w:rPr>
          <w:color w:val="943634" w:themeColor="accent2" w:themeShade="BF"/>
        </w:rPr>
        <w:t xml:space="preserve">$62,940   </w:t>
      </w:r>
      <w:r>
        <w:t xml:space="preserve">| </w:t>
      </w:r>
      <w:r w:rsidRPr="005674F5">
        <w:rPr>
          <w:color w:val="E36C0A" w:themeColor="accent6" w:themeShade="BF"/>
        </w:rPr>
        <w:t xml:space="preserve">$83,920   </w:t>
      </w:r>
      <w:r>
        <w:t>| $104,900</w:t>
      </w:r>
      <w:r>
        <w:br/>
      </w:r>
      <w:r w:rsidRPr="005674F5">
        <w:rPr>
          <w:b/>
          <w:bCs/>
        </w:rPr>
        <w:t>Add $5,380 for each additional household member.</w:t>
      </w:r>
    </w:p>
    <w:p w14:paraId="1C2F20EA" w14:textId="77777777" w:rsidR="007E0355" w:rsidRDefault="005674F5">
      <w:pPr>
        <w:pStyle w:val="Heading2"/>
      </w:pPr>
      <w:r>
        <w:t>Required Documentation</w:t>
      </w:r>
    </w:p>
    <w:p w14:paraId="570E695A" w14:textId="77777777" w:rsidR="007E0355" w:rsidRDefault="005674F5">
      <w:r>
        <w:t>Acceptable proof of income includes:</w:t>
      </w:r>
      <w:r>
        <w:br/>
        <w:t>- Most recent federal tax return</w:t>
      </w:r>
      <w:r>
        <w:br/>
        <w:t>- Two recent pay stubs</w:t>
      </w:r>
      <w:r>
        <w:br/>
        <w:t>- Current SSI/SSDI or unemployment award letter</w:t>
      </w:r>
      <w:r>
        <w:br/>
        <w:t>- Employer letter for self-employed individuals</w:t>
      </w:r>
    </w:p>
    <w:p w14:paraId="5EEC9250" w14:textId="77777777" w:rsidR="007E0355" w:rsidRDefault="005674F5">
      <w:pPr>
        <w:pStyle w:val="Heading2"/>
      </w:pPr>
      <w:r>
        <w:lastRenderedPageBreak/>
        <w:t>Acknowledgment</w:t>
      </w:r>
    </w:p>
    <w:p w14:paraId="34B5E121" w14:textId="77777777" w:rsidR="007E0355" w:rsidRDefault="005674F5">
      <w:r>
        <w:t>Patients must complete a Sliding Scale Application and sign a financial agreement annually. Failure to provide current documentation will result in full fee responsibility.</w:t>
      </w:r>
    </w:p>
    <w:sectPr w:rsidR="007E0355" w:rsidSect="005674F5">
      <w:headerReference w:type="default" r:id="rId8"/>
      <w:pgSz w:w="12240" w:h="15840"/>
      <w:pgMar w:top="1440" w:right="1800" w:bottom="1440" w:left="1800" w:header="720" w:footer="72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39E4" w14:textId="77777777" w:rsidR="005674F5" w:rsidRDefault="005674F5" w:rsidP="005674F5">
      <w:pPr>
        <w:spacing w:after="0" w:line="240" w:lineRule="auto"/>
      </w:pPr>
      <w:r>
        <w:separator/>
      </w:r>
    </w:p>
  </w:endnote>
  <w:endnote w:type="continuationSeparator" w:id="0">
    <w:p w14:paraId="25780E9D" w14:textId="77777777" w:rsidR="005674F5" w:rsidRDefault="005674F5" w:rsidP="0056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9F79F" w14:textId="77777777" w:rsidR="005674F5" w:rsidRDefault="005674F5" w:rsidP="005674F5">
      <w:pPr>
        <w:spacing w:after="0" w:line="240" w:lineRule="auto"/>
      </w:pPr>
      <w:r>
        <w:separator/>
      </w:r>
    </w:p>
  </w:footnote>
  <w:footnote w:type="continuationSeparator" w:id="0">
    <w:p w14:paraId="60900402" w14:textId="77777777" w:rsidR="005674F5" w:rsidRDefault="005674F5" w:rsidP="0056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86A8" w14:textId="7DF187AD" w:rsidR="005674F5" w:rsidRDefault="005674F5" w:rsidP="005674F5">
    <w:pPr>
      <w:pStyle w:val="Header"/>
      <w:jc w:val="right"/>
    </w:pPr>
    <w:r>
      <w:rPr>
        <w:noProof/>
      </w:rPr>
      <w:drawing>
        <wp:inline distT="0" distB="0" distL="0" distR="0" wp14:anchorId="35EEE0E6" wp14:editId="4689B2C4">
          <wp:extent cx="2779059" cy="590550"/>
          <wp:effectExtent l="0" t="0" r="2540" b="0"/>
          <wp:docPr id="1881690346" name="Picture 1" descr="A black background with gol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690346" name="Picture 1" descr="A black background with gold letter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4187" cy="59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CC644" w14:textId="73DD740A" w:rsidR="005674F5" w:rsidRPr="005674F5" w:rsidRDefault="005674F5" w:rsidP="005674F5">
    <w:pPr>
      <w:pStyle w:val="Header"/>
      <w:rPr>
        <w:u w:val="thick" w:color="1F497D" w:themeColor="text2"/>
      </w:rPr>
    </w:pPr>
    <w:r w:rsidRPr="005674F5">
      <w:rPr>
        <w:u w:val="thick" w:color="1F497D" w:themeColor="text2"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9102675">
    <w:abstractNumId w:val="8"/>
  </w:num>
  <w:num w:numId="2" w16cid:durableId="1947543670">
    <w:abstractNumId w:val="6"/>
  </w:num>
  <w:num w:numId="3" w16cid:durableId="699359994">
    <w:abstractNumId w:val="5"/>
  </w:num>
  <w:num w:numId="4" w16cid:durableId="1743985533">
    <w:abstractNumId w:val="4"/>
  </w:num>
  <w:num w:numId="5" w16cid:durableId="725952685">
    <w:abstractNumId w:val="7"/>
  </w:num>
  <w:num w:numId="6" w16cid:durableId="1703357609">
    <w:abstractNumId w:val="3"/>
  </w:num>
  <w:num w:numId="7" w16cid:durableId="2103530798">
    <w:abstractNumId w:val="2"/>
  </w:num>
  <w:num w:numId="8" w16cid:durableId="282152753">
    <w:abstractNumId w:val="1"/>
  </w:num>
  <w:num w:numId="9" w16cid:durableId="59817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674F5"/>
    <w:rsid w:val="007E0355"/>
    <w:rsid w:val="009F596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908B9"/>
  <w14:defaultImageDpi w14:val="300"/>
  <w15:docId w15:val="{3484FA7C-7248-427C-9679-9E1071F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Lekesha McPhail</cp:lastModifiedBy>
  <cp:revision>2</cp:revision>
  <dcterms:created xsi:type="dcterms:W3CDTF">2025-04-08T03:03:00Z</dcterms:created>
  <dcterms:modified xsi:type="dcterms:W3CDTF">2025-04-08T03:03:00Z</dcterms:modified>
  <cp:category/>
</cp:coreProperties>
</file>